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538"/>
        <w:gridCol w:w="1681"/>
        <w:gridCol w:w="2127"/>
        <w:gridCol w:w="2942"/>
      </w:tblGrid>
      <w:tr w:rsidR="00964628" w:rsidRPr="00A86F05" w14:paraId="59B65DA8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4A73DB71" w14:textId="77777777" w:rsidR="00964628" w:rsidRPr="00DC5D67" w:rsidRDefault="000051F7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D67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DC5D67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0724C0" w:rsidRPr="00DC5D67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2A4732AB" w14:textId="77777777" w:rsidTr="00AE1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14:paraId="4433ED8B" w14:textId="77777777" w:rsidR="00701711" w:rsidRPr="00DC5D67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DC5D67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DC5D67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</w:tcPr>
          <w:p w14:paraId="172CBC79" w14:textId="77777777" w:rsidR="00701711" w:rsidRPr="00DC5D67" w:rsidRDefault="008A0FA8" w:rsidP="00471E05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DC5D67">
              <w:rPr>
                <w:rFonts w:ascii="Arial" w:hAnsi="Arial" w:cs="Arial"/>
                <w:b/>
                <w:sz w:val="22"/>
                <w:szCs w:val="22"/>
              </w:rPr>
              <w:t xml:space="preserve">Lokální opravy </w:t>
            </w:r>
            <w:r w:rsidR="000D1C08" w:rsidRPr="00DC5D67">
              <w:rPr>
                <w:rFonts w:ascii="Arial" w:hAnsi="Arial" w:cs="Arial"/>
                <w:b/>
                <w:sz w:val="22"/>
                <w:szCs w:val="22"/>
              </w:rPr>
              <w:t>konstrukcí</w:t>
            </w:r>
            <w:r w:rsidRPr="00DC5D67">
              <w:rPr>
                <w:rFonts w:ascii="Arial" w:hAnsi="Arial" w:cs="Arial"/>
                <w:b/>
                <w:sz w:val="22"/>
                <w:szCs w:val="22"/>
              </w:rPr>
              <w:t xml:space="preserve"> vozovek</w:t>
            </w:r>
            <w:r w:rsidR="004D2ADF" w:rsidRPr="00DC5D67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471E05" w:rsidRPr="00DC5D67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4D2ADF" w:rsidRPr="00DC5D67">
              <w:rPr>
                <w:rFonts w:ascii="Arial" w:hAnsi="Arial" w:cs="Arial"/>
                <w:b/>
                <w:sz w:val="22"/>
                <w:szCs w:val="22"/>
              </w:rPr>
              <w:t xml:space="preserve"> práce</w:t>
            </w:r>
          </w:p>
        </w:tc>
      </w:tr>
      <w:tr w:rsidR="00321388" w:rsidRPr="00A86F05" w14:paraId="3B70E2E1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86F9341" w14:textId="77777777" w:rsidR="00321388" w:rsidRPr="00DC5D67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DC5D67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DC5D6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04BBC23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4BCA967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72F9A784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2158953" w14:textId="77777777" w:rsidR="0048657A" w:rsidRPr="00DC5D67" w:rsidRDefault="004D2ADF" w:rsidP="008956F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Tento katalogový list obsahuje následující příležitostné práce k hlavním pracím:</w:t>
            </w:r>
          </w:p>
          <w:p w14:paraId="19D09A3F" w14:textId="5B25DBFB" w:rsidR="006548AD" w:rsidRPr="00DC5D67" w:rsidRDefault="006548AD" w:rsidP="008956F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poklopu. Práce spočívají ve vybourání rámu poklopu, podbetonování a novém osazení rámu poklopu do betonu.</w:t>
            </w:r>
          </w:p>
          <w:p w14:paraId="62A5C3A7" w14:textId="3FE58F61" w:rsidR="006548AD" w:rsidRPr="00DC5D67" w:rsidRDefault="006548AD" w:rsidP="008956F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mříže. Práce spočívají ve vybourání rámu mříže, podbetonování a novém osazení rámu mříže do betonu.</w:t>
            </w:r>
          </w:p>
          <w:p w14:paraId="59B923A1" w14:textId="08A79552" w:rsidR="006548AD" w:rsidRPr="00DC5D67" w:rsidRDefault="00BE11D0" w:rsidP="008956F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krycího hrnce, šoupěte nebo</w:t>
            </w:r>
            <w:r w:rsidR="00DC5D6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hydrantu.</w:t>
            </w:r>
          </w:p>
          <w:p w14:paraId="21F2F2B8" w14:textId="7581A224" w:rsidR="008D5396" w:rsidRPr="00DC5D67" w:rsidRDefault="004D2ADF" w:rsidP="008956F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Výšková </w:t>
            </w:r>
            <w:r w:rsidR="00BE11D0"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a směrová </w:t>
            </w: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úprava silničních obrub. Práce spočívají ve vybourání stávajících obrub, novém podbetonování a osazení původních obrub do nové nivelety.</w:t>
            </w:r>
          </w:p>
          <w:p w14:paraId="00563904" w14:textId="7E43C036" w:rsidR="0048657A" w:rsidRPr="00DC5D67" w:rsidRDefault="004D2ADF" w:rsidP="008956F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Výměna silničních obrub. Práce spočívají ve vybourání stávajících obrub, novém podbetonování a dodávce a osazení nových obrub do nivelety. Původní poškozené betonové obruby budou spolu s ostatním materiálem odvezeny na skládku, žulové obruby budou uskladněny (v případě možnosti jejich opětovného použití na méně exponovaných místech) </w:t>
            </w:r>
            <w:r w:rsidR="00BE11D0"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a </w:t>
            </w: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uloženy na deponii znovupoužitelného silničního materiálu dle pokynů zadavatele.</w:t>
            </w:r>
          </w:p>
          <w:p w14:paraId="5A430293" w14:textId="77777777" w:rsidR="008D5396" w:rsidRPr="00DC5D67" w:rsidRDefault="008D5396" w:rsidP="008956F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</w:t>
            </w:r>
            <w:r w:rsidR="00E17C7C" w:rsidRPr="00DC5D67">
              <w:rPr>
                <w:rFonts w:ascii="Arial" w:hAnsi="Arial" w:cs="Arial"/>
                <w:b w:val="0"/>
                <w:sz w:val="20"/>
                <w:szCs w:val="20"/>
              </w:rPr>
              <w:t>konstrukcí</w:t>
            </w: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 vozovek</w:t>
            </w:r>
            <w:r w:rsidR="00E17C7C"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 – </w:t>
            </w:r>
            <w:r w:rsidR="00471E05" w:rsidRPr="00DC5D67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="00E17C7C"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 práce</w:t>
            </w: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DC5D67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DC5D67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2665D6" w:rsidRPr="00DC5D67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DC5D67">
              <w:rPr>
                <w:rFonts w:ascii="Arial" w:hAnsi="Arial" w:cs="Arial"/>
                <w:b w:val="0"/>
                <w:sz w:val="20"/>
                <w:szCs w:val="20"/>
              </w:rPr>
              <w:t xml:space="preserve"> Provádění prací je rozděleno do dvou skupin:</w:t>
            </w:r>
          </w:p>
          <w:p w14:paraId="57C6A319" w14:textId="77777777" w:rsidR="00346883" w:rsidRPr="00DC5D67" w:rsidRDefault="00346883" w:rsidP="008956F2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7A6BE19A" w14:textId="77777777" w:rsidR="00346883" w:rsidRPr="00DC5D67" w:rsidRDefault="00346883" w:rsidP="008956F2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plánovaná oprava</w:t>
            </w:r>
          </w:p>
          <w:p w14:paraId="17BAC3E3" w14:textId="77777777" w:rsidR="000051F7" w:rsidRPr="00DC5D67" w:rsidRDefault="000051F7" w:rsidP="008956F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5D67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7F54616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E9C5ACD" w14:textId="77777777" w:rsidR="00321388" w:rsidRPr="00CF1073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CF1073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2FD89D36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328D0A1" w14:textId="77777777" w:rsidR="00880B16" w:rsidRPr="00CF1073" w:rsidRDefault="001C2EEA" w:rsidP="00471E0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CF1073">
              <w:rPr>
                <w:rFonts w:ascii="Arial" w:hAnsi="Arial" w:cs="Arial"/>
                <w:sz w:val="20"/>
                <w:szCs w:val="20"/>
              </w:rPr>
              <w:t xml:space="preserve">Lokální opravy </w:t>
            </w:r>
            <w:r w:rsidR="00346883" w:rsidRPr="00CF1073">
              <w:rPr>
                <w:rFonts w:ascii="Arial" w:hAnsi="Arial" w:cs="Arial"/>
                <w:sz w:val="20"/>
                <w:szCs w:val="20"/>
              </w:rPr>
              <w:t xml:space="preserve">konstrukcí </w:t>
            </w:r>
            <w:r w:rsidRPr="00CF1073">
              <w:rPr>
                <w:rFonts w:ascii="Arial" w:hAnsi="Arial" w:cs="Arial"/>
                <w:sz w:val="20"/>
                <w:szCs w:val="20"/>
              </w:rPr>
              <w:t>vozovek</w:t>
            </w:r>
            <w:r w:rsidR="000C62C1" w:rsidRPr="00CF107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71E05" w:rsidRPr="00CF1073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CF1073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2A990A44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413E999" w14:textId="77777777" w:rsidR="002665D6" w:rsidRPr="00CF1073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CF1073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2AF56947" w14:textId="77777777" w:rsidR="002665D6" w:rsidRPr="00CF1073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073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23D48257" w14:textId="77777777" w:rsidR="002665D6" w:rsidRPr="00CF1073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CF1073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7896D84D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C2B9131" w14:textId="51176E52" w:rsidR="00451CEB" w:rsidRPr="00CF1073" w:rsidRDefault="00B122F4" w:rsidP="00451CEB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poklopu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E6DF15F" w14:textId="1D9EB056" w:rsidR="002E6716" w:rsidRPr="00CF1073" w:rsidRDefault="00B122F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1AD1AAEC" w14:textId="77777777" w:rsidR="002E6716" w:rsidRPr="00CF1073" w:rsidRDefault="00A43BD0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51CEB" w:rsidRPr="00A86F05" w14:paraId="737780A7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DF5077F" w14:textId="2FDC4931" w:rsidR="00451CEB" w:rsidRPr="00CF1073" w:rsidRDefault="00B122F4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4C2D60FD" w14:textId="2FD5E5C0" w:rsidR="00451CEB" w:rsidRPr="00CF1073" w:rsidRDefault="00B122F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03EE9930" w14:textId="77777777" w:rsidR="00451CEB" w:rsidRPr="00CF1073" w:rsidRDefault="00A43BD0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451CEB"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17C7C" w:rsidRPr="00A86F05" w14:paraId="6DB7B418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A8F8C0A" w14:textId="3FBCFC89" w:rsidR="00E17C7C" w:rsidRPr="00CF1073" w:rsidRDefault="00E17C7C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CF1073">
              <w:rPr>
                <w:rFonts w:ascii="Arial" w:hAnsi="Arial" w:cs="Arial"/>
                <w:b w:val="0"/>
                <w:sz w:val="20"/>
                <w:szCs w:val="20"/>
              </w:rPr>
              <w:t xml:space="preserve">Výšková úprava </w:t>
            </w:r>
            <w:r w:rsidR="00B122F4">
              <w:rPr>
                <w:rFonts w:ascii="Arial" w:hAnsi="Arial" w:cs="Arial"/>
                <w:b w:val="0"/>
                <w:sz w:val="20"/>
                <w:szCs w:val="20"/>
              </w:rPr>
              <w:t>uličního vstupu nebo vpusti do 200 mm zvýšením krycího hrnce, šoupěte nebo hydrantu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FFC41C2" w14:textId="0136F6E3" w:rsidR="00E17C7C" w:rsidRPr="00CF1073" w:rsidRDefault="00B122F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0B739F6C" w14:textId="77777777" w:rsidR="00E17C7C" w:rsidRPr="00CF1073" w:rsidRDefault="00A43BD0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E17C7C"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17C7C" w:rsidRPr="00A86F05" w14:paraId="0DDD2D11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B84EFF6" w14:textId="26C72679" w:rsidR="00E17C7C" w:rsidRPr="00CF1073" w:rsidRDefault="00B122F4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a směrová úprava silničního obrubníku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5F671ED" w14:textId="61057532" w:rsidR="00E17C7C" w:rsidRPr="00CF1073" w:rsidRDefault="00B122F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0A7D8ED5" w14:textId="77777777" w:rsidR="00E17C7C" w:rsidRPr="00CF1073" w:rsidRDefault="00A43BD0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0C62C1"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82434" w:rsidRPr="00A86F05" w14:paraId="34185C86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76C9736" w14:textId="026749AC" w:rsidR="00382434" w:rsidRPr="00DC73F5" w:rsidRDefault="00DC73F5" w:rsidP="00346883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73F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Výměna silničního obrubníku betonového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1BF1E064" w14:textId="4F820C12" w:rsidR="00382434" w:rsidRPr="00CF1073" w:rsidRDefault="00DC73F5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293A13DA" w14:textId="4D3A651F" w:rsidR="00382434" w:rsidRPr="00CF1073" w:rsidRDefault="00DC73F5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62C1" w:rsidRPr="00A86F05" w14:paraId="51BBF40F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91694AD" w14:textId="23A2568D" w:rsidR="000C62C1" w:rsidRPr="00CF1073" w:rsidRDefault="00DC73F5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Výměna silničního obrubníku žulového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252B731" w14:textId="7D9D4380" w:rsidR="000C62C1" w:rsidRPr="00CF1073" w:rsidRDefault="00DC73F5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6A4AC6DD" w14:textId="77777777" w:rsidR="000C62C1" w:rsidRPr="00CF1073" w:rsidRDefault="00A43BD0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0C62C1" w:rsidRPr="00CF107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CF107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3C73B91B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09342BA" w14:textId="77777777" w:rsidR="00AF5891" w:rsidRPr="00A60678" w:rsidRDefault="00AF5891" w:rsidP="006F744B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A60678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6F744B" w:rsidRPr="00A60678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A60678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A60678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5D5F5F0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E910AFD" w14:textId="77777777" w:rsidR="00AF5891" w:rsidRPr="00A60678" w:rsidRDefault="003442A0" w:rsidP="00471E0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0678">
              <w:rPr>
                <w:rFonts w:ascii="Arial" w:hAnsi="Arial" w:cs="Arial"/>
                <w:sz w:val="20"/>
                <w:szCs w:val="20"/>
              </w:rPr>
              <w:t xml:space="preserve">Lokální opravy </w:t>
            </w:r>
            <w:r w:rsidR="00346883" w:rsidRPr="00A60678">
              <w:rPr>
                <w:rFonts w:ascii="Arial" w:hAnsi="Arial" w:cs="Arial"/>
                <w:sz w:val="20"/>
                <w:szCs w:val="20"/>
              </w:rPr>
              <w:t xml:space="preserve">konstrukcí </w:t>
            </w:r>
            <w:r w:rsidRPr="00A60678">
              <w:rPr>
                <w:rFonts w:ascii="Arial" w:hAnsi="Arial" w:cs="Arial"/>
                <w:sz w:val="20"/>
                <w:szCs w:val="20"/>
              </w:rPr>
              <w:t>vozovek</w:t>
            </w:r>
            <w:r w:rsidR="000C62C1" w:rsidRPr="00A60678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71E05" w:rsidRPr="00A60678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A60678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AF5891" w:rsidRPr="006226D0" w14:paraId="7FADFE49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2429BBC" w14:textId="26307F6E" w:rsidR="00A60678" w:rsidRPr="008956F2" w:rsidRDefault="00A60678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Zakázka údržby na doplňkovou činnost bude vždy doprovázena Zakázkou údržby na hlavní činnost.</w:t>
            </w:r>
          </w:p>
          <w:p w14:paraId="558DF897" w14:textId="64623473" w:rsidR="00A60678" w:rsidRPr="008956F2" w:rsidRDefault="00A60678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Formou doplňkové činnosti bude řešena i případná další nutná činnost související s 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Objednatel má právo nabídku Zhotovitele odmítnout. Toto odmítnutí musí být Objednatelem provedeno písemně s podpisem oprávněné osoby Objednatele.</w:t>
            </w:r>
          </w:p>
          <w:p w14:paraId="2ECC9410" w14:textId="79D101E5" w:rsidR="000051F7" w:rsidRPr="008956F2" w:rsidRDefault="000051F7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A770DA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hotovitel dodá nebo provede v takovém rozsahu a jakosti, aby výsledkem bylo kompletní dílo či díla odpovídající podmínkám stanovených Smlouvou či v jednotlivých Zakázkách údržby.</w:t>
            </w:r>
          </w:p>
          <w:p w14:paraId="64F40619" w14:textId="77777777" w:rsidR="00346883" w:rsidRPr="008956F2" w:rsidRDefault="00346883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009AE964" w14:textId="77777777" w:rsidR="006F2FBB" w:rsidRPr="008956F2" w:rsidRDefault="006F2FBB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</w:t>
            </w:r>
            <w:r w:rsidR="00346883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na plánované opravě 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musí být zahájeno </w:t>
            </w:r>
            <w:r w:rsidR="005D6DF1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51F861EA" w14:textId="77777777" w:rsidR="00CD42D4" w:rsidRPr="008956F2" w:rsidRDefault="00CD42D4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40D13DE1" w14:textId="77777777" w:rsidR="007A6A0B" w:rsidRPr="008956F2" w:rsidRDefault="00AF5891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8956F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8956F2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363FA6F2" w14:textId="77777777" w:rsidR="00EC7D61" w:rsidRPr="008956F2" w:rsidRDefault="007A6A0B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8956F2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8956F2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42F47352" w14:textId="77777777" w:rsidR="007F4946" w:rsidRPr="008956F2" w:rsidRDefault="003D76D0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6F744B" w:rsidRPr="008956F2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6F8EFB9" w14:textId="77777777" w:rsidR="00715D93" w:rsidRPr="008956F2" w:rsidRDefault="00715D93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07116B5F" w14:textId="77777777" w:rsidR="00D13CAD" w:rsidRPr="008956F2" w:rsidRDefault="000F3ED2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4250C2D9" w14:textId="77777777" w:rsidR="007F4946" w:rsidRPr="008956F2" w:rsidRDefault="00715D93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F4FE689" w14:textId="77777777" w:rsidR="003D76D0" w:rsidRPr="008956F2" w:rsidRDefault="00715D93" w:rsidP="008956F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274BD83C" w14:textId="77777777" w:rsidR="00040F5A" w:rsidRPr="008956F2" w:rsidRDefault="00040F5A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23B32DB2" w14:textId="77777777" w:rsidR="00D02133" w:rsidRPr="008956F2" w:rsidRDefault="005315D4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8956F2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66D0A63" w14:textId="2B91C944" w:rsidR="000051F7" w:rsidRPr="008956F2" w:rsidRDefault="00680E39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8956F2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03435EF" w14:textId="77777777" w:rsidR="003442A0" w:rsidRPr="008956F2" w:rsidRDefault="00AF5891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8956F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8956F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8956F2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8956F2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3E05CD9E" w14:textId="1589A20D" w:rsidR="00E618CE" w:rsidRPr="008956F2" w:rsidRDefault="003442A0" w:rsidP="008956F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8956F2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8956F2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36FC049D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1013932" w14:textId="77777777" w:rsidR="002D1D11" w:rsidRPr="0042707E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42707E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2465C93B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D49BF84" w14:textId="77777777" w:rsidR="00451CEB" w:rsidRPr="00DF19BD" w:rsidRDefault="006F2FBB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6F744B" w:rsidRPr="00DF19BD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744B" w:rsidRPr="00DF19B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DF19BD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DF19BD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11452BE8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25B22DFD" w14:textId="77777777" w:rsidR="000C62C1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F9AFA0F" w14:textId="64B0C19E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0051F7" w:rsidRPr="00DF19BD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 w:rsidR="00DF19BD" w:rsidRPr="00DF19BD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 w:rsidR="000051F7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a 1</w:t>
            </w:r>
            <w:r w:rsidR="00DF19BD" w:rsidRPr="00DF19BD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F19BD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DF19BD">
              <w:rPr>
                <w:rFonts w:ascii="Arial" w:hAnsi="Arial" w:cs="Arial"/>
                <w:sz w:val="20"/>
                <w:szCs w:val="20"/>
              </w:rPr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000000" w:rsidRPr="00DF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3777DF4D" w14:textId="77777777" w:rsidR="000C3717" w:rsidRPr="00DF19BD" w:rsidRDefault="000C3717" w:rsidP="00DF1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lastRenderedPageBreak/>
              <w:t>soupis</w:t>
            </w:r>
            <w:proofErr w:type="spellEnd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0CBE5C40" w14:textId="77777777" w:rsidR="000C3717" w:rsidRPr="00DF19BD" w:rsidRDefault="003442A0" w:rsidP="00DF1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7DE5BD77" w14:textId="77777777" w:rsidR="00040F5A" w:rsidRPr="00DF19BD" w:rsidRDefault="003442A0" w:rsidP="00DF1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71A2839A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6F744B" w:rsidRPr="00DF19BD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29F9114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3E8D4F8F" w14:textId="77777777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4E31E9A2" w14:textId="77777777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6BDCBDAC" w14:textId="77777777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0E6556D0" w14:textId="77777777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60C02F9E" w14:textId="77777777" w:rsidR="00520220" w:rsidRPr="00DF19BD" w:rsidRDefault="006F2FBB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47EFBA3B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52C8509C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69C94F14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6AEBAD5F" w14:textId="77777777" w:rsidR="00520220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6F744B" w:rsidRPr="00DF19BD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DF19BD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6E67000F" w14:textId="77777777" w:rsidR="00520220" w:rsidRPr="00DF19BD" w:rsidRDefault="006F2FBB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DF1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DF19BD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DF19BD">
              <w:rPr>
                <w:rFonts w:ascii="Arial" w:hAnsi="Arial" w:cs="Arial"/>
                <w:sz w:val="20"/>
                <w:szCs w:val="20"/>
              </w:rPr>
            </w:r>
            <w:r w:rsidR="00520220" w:rsidRPr="00DF1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DF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007A24AE" w14:textId="77777777" w:rsidR="00520220" w:rsidRPr="00DF19BD" w:rsidRDefault="00520220" w:rsidP="00DF19BD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F19BD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DF19BD">
              <w:rPr>
                <w:rFonts w:ascii="Arial" w:hAnsi="Arial" w:cs="Arial"/>
                <w:sz w:val="20"/>
                <w:szCs w:val="20"/>
              </w:rPr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DF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F19BD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DF19BD">
              <w:rPr>
                <w:rFonts w:ascii="Arial" w:hAnsi="Arial" w:cs="Arial"/>
                <w:sz w:val="20"/>
                <w:szCs w:val="20"/>
              </w:rPr>
            </w:r>
            <w:r w:rsidRPr="00DF1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DF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68DDE9F8" w14:textId="77777777" w:rsidR="009D1A7B" w:rsidRPr="00DF19BD" w:rsidRDefault="00520220" w:rsidP="00DF1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DF19BD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DF19B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DF19BD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56F3B69D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FE59E38" w14:textId="77777777" w:rsidR="00520220" w:rsidRPr="008B1D5C" w:rsidRDefault="00520220" w:rsidP="00520220">
            <w:pPr>
              <w:pStyle w:val="Zkladntext"/>
              <w:keepLines/>
              <w:widowControl w:val="0"/>
              <w:rPr>
                <w:rFonts w:asciiTheme="minorHAnsi" w:hAnsiTheme="minorHAnsi" w:cstheme="minorHAnsi"/>
              </w:rPr>
            </w:pPr>
            <w:r w:rsidRPr="005F1F83">
              <w:rPr>
                <w:rFonts w:ascii="Arial" w:hAnsi="Arial" w:cs="Arial"/>
                <w:bCs w:val="0"/>
                <w:caps/>
                <w:sz w:val="22"/>
                <w:szCs w:val="22"/>
              </w:rPr>
              <w:t>F.</w:t>
            </w:r>
            <w:r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Pr="005F1F83">
              <w:rPr>
                <w:rFonts w:ascii="Arial" w:hAnsi="Arial" w:cs="Arial"/>
                <w:caps/>
                <w:sz w:val="22"/>
                <w:szCs w:val="22"/>
              </w:rPr>
              <w:t>SMLUVNÍ POKUTY</w:t>
            </w:r>
          </w:p>
        </w:tc>
      </w:tr>
      <w:tr w:rsidR="00520220" w:rsidRPr="00A86F05" w14:paraId="6DC6353D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EB19101" w14:textId="77777777" w:rsidR="00555C68" w:rsidRPr="00DA7101" w:rsidRDefault="00520220" w:rsidP="00DA7101">
            <w:pPr>
              <w:keepLines/>
              <w:widowControl w:val="0"/>
              <w:spacing w:after="6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6F744B" w:rsidRPr="00DA7101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DA710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DA7101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DA710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5D14C9C0" w14:textId="77777777" w:rsidR="005E688A" w:rsidRPr="00DA7101" w:rsidRDefault="005E688A" w:rsidP="00DA7101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DA7101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0051F7" w:rsidRPr="00DA7101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DA7101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18CA44B" w14:textId="77777777" w:rsidR="00520220" w:rsidRPr="00DA7101" w:rsidRDefault="00C26B73" w:rsidP="00DA7101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DA7101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="00EF1808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a 2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DA7101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DA7101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DA7101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0051F7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ve výši 0,1 % z celkové hodnoty zakázky</w:t>
            </w:r>
            <w:r w:rsidR="00520220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DA7101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DA7101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6F744B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Zhotovitel </w:t>
            </w:r>
            <w:r w:rsidR="005E688A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v prodlení, za každý i započatý </w:t>
            </w:r>
            <w:r w:rsidR="003D69F5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DA7101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6C67AD46" w14:textId="77777777" w:rsidR="00DA7101" w:rsidRDefault="00DA7101" w:rsidP="00DA7101">
            <w:pPr>
              <w:keepLines/>
              <w:widowControl w:val="0"/>
              <w:spacing w:after="6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24C69697" w14:textId="77777777" w:rsidR="00DA7101" w:rsidRPr="00DA7101" w:rsidRDefault="00DA7101" w:rsidP="00DA7101">
            <w:pPr>
              <w:keepLines/>
              <w:widowControl w:val="0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14:paraId="0B87870C" w14:textId="77777777" w:rsidR="00CD42D4" w:rsidRPr="00DA7101" w:rsidRDefault="00CD42D4" w:rsidP="00DA7101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V případě nedodržení termínu ukončení prací na Zakázce údržby dle bodu 2 kapitoly D tohoto Katalogovéh</w:t>
            </w:r>
            <w:r w:rsidR="000051F7" w:rsidRPr="00DA7101">
              <w:rPr>
                <w:rFonts w:ascii="Arial" w:hAnsi="Arial" w:cs="Arial"/>
                <w:b w:val="0"/>
                <w:sz w:val="20"/>
                <w:szCs w:val="20"/>
              </w:rPr>
              <w:t>o listu smluvní pokuta ve výši 0,1 % z celkové hodnoty zakázky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69549ADE" w14:textId="77777777" w:rsidR="00520220" w:rsidRPr="00DA7101" w:rsidRDefault="00520220" w:rsidP="00DA7101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DA7101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DA7101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48AF3B9A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7F54D9C" w14:textId="725B429D" w:rsidR="00AF5891" w:rsidRPr="00DA7101" w:rsidRDefault="00AF5891" w:rsidP="00DA7101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DA7101">
              <w:rPr>
                <w:rFonts w:ascii="Arial" w:hAnsi="Arial" w:cs="Arial"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AF5891" w:rsidRPr="00412E7C" w14:paraId="046CA3FB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058E6C4C" w14:textId="77777777" w:rsidR="00AF5891" w:rsidRPr="00DA7101" w:rsidRDefault="00AF5891" w:rsidP="00DA710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DA7101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43DD61EC" w14:textId="77777777" w:rsidR="00412E7C" w:rsidRPr="00DA7101" w:rsidRDefault="00FE0616" w:rsidP="00DA710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1F026B0F" w14:textId="77777777" w:rsidR="00FE0616" w:rsidRPr="00DA7101" w:rsidRDefault="007C5623" w:rsidP="00DA710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3AD1ED80" w14:textId="77777777" w:rsidR="007C5623" w:rsidRPr="00DA7101" w:rsidRDefault="007C5623" w:rsidP="00DA710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4851C7D9" w14:textId="21621151" w:rsidR="000051F7" w:rsidRPr="00DA7101" w:rsidDel="00E34BE5" w:rsidRDefault="007C5623" w:rsidP="00DA710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A7101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3ED6513B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6DB86FC" w14:textId="6AC6E462" w:rsidR="00AF5891" w:rsidRPr="00DA7101" w:rsidRDefault="00AF5891" w:rsidP="00DA7101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DA7101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290F1814" w14:textId="77777777" w:rsidTr="00721A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EF71C8D" w14:textId="6F10FA6C" w:rsidR="00721ABD" w:rsidRPr="00DA7101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DA710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</w:t>
            </w:r>
            <w:r w:rsidR="000051F7" w:rsidRPr="00DA710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431B7C5A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4B1E4" w14:textId="77777777" w:rsidR="00886260" w:rsidRDefault="00886260" w:rsidP="00D567AC">
      <w:pPr>
        <w:spacing w:after="0" w:line="240" w:lineRule="auto"/>
      </w:pPr>
      <w:r>
        <w:separator/>
      </w:r>
    </w:p>
  </w:endnote>
  <w:endnote w:type="continuationSeparator" w:id="0">
    <w:p w14:paraId="7F310D78" w14:textId="77777777" w:rsidR="00886260" w:rsidRDefault="00886260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DFEB8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6348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5F761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C6D15" w14:textId="77777777" w:rsidR="00886260" w:rsidRDefault="00886260" w:rsidP="00D567AC">
      <w:pPr>
        <w:spacing w:after="0" w:line="240" w:lineRule="auto"/>
      </w:pPr>
      <w:r>
        <w:separator/>
      </w:r>
    </w:p>
  </w:footnote>
  <w:footnote w:type="continuationSeparator" w:id="0">
    <w:p w14:paraId="31D987DA" w14:textId="77777777" w:rsidR="00886260" w:rsidRDefault="00886260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3A706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8C256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BF473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3" type="#_x0000_t75" style="width:183.45pt;height:139.6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701CF"/>
    <w:multiLevelType w:val="hybridMultilevel"/>
    <w:tmpl w:val="69E6FD86"/>
    <w:lvl w:ilvl="0" w:tplc="855A3CB0">
      <w:start w:val="7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664F"/>
    <w:multiLevelType w:val="hybridMultilevel"/>
    <w:tmpl w:val="E9F6426E"/>
    <w:lvl w:ilvl="0" w:tplc="C66CA36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2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3199">
    <w:abstractNumId w:val="28"/>
  </w:num>
  <w:num w:numId="2" w16cid:durableId="1363284539">
    <w:abstractNumId w:val="17"/>
  </w:num>
  <w:num w:numId="3" w16cid:durableId="960111987">
    <w:abstractNumId w:val="17"/>
  </w:num>
  <w:num w:numId="4" w16cid:durableId="1035618322">
    <w:abstractNumId w:val="17"/>
  </w:num>
  <w:num w:numId="5" w16cid:durableId="1874608898">
    <w:abstractNumId w:val="21"/>
  </w:num>
  <w:num w:numId="6" w16cid:durableId="1933928945">
    <w:abstractNumId w:val="2"/>
  </w:num>
  <w:num w:numId="7" w16cid:durableId="323894915">
    <w:abstractNumId w:val="26"/>
  </w:num>
  <w:num w:numId="8" w16cid:durableId="71393859">
    <w:abstractNumId w:val="15"/>
  </w:num>
  <w:num w:numId="9" w16cid:durableId="1115172212">
    <w:abstractNumId w:val="12"/>
  </w:num>
  <w:num w:numId="10" w16cid:durableId="1271745886">
    <w:abstractNumId w:val="20"/>
  </w:num>
  <w:num w:numId="11" w16cid:durableId="370880699">
    <w:abstractNumId w:val="11"/>
  </w:num>
  <w:num w:numId="12" w16cid:durableId="1983730924">
    <w:abstractNumId w:val="25"/>
  </w:num>
  <w:num w:numId="13" w16cid:durableId="1425570002">
    <w:abstractNumId w:val="3"/>
  </w:num>
  <w:num w:numId="14" w16cid:durableId="445925277">
    <w:abstractNumId w:val="6"/>
  </w:num>
  <w:num w:numId="15" w16cid:durableId="224220452">
    <w:abstractNumId w:val="16"/>
  </w:num>
  <w:num w:numId="16" w16cid:durableId="806361804">
    <w:abstractNumId w:val="8"/>
  </w:num>
  <w:num w:numId="17" w16cid:durableId="41906313">
    <w:abstractNumId w:val="4"/>
  </w:num>
  <w:num w:numId="18" w16cid:durableId="1882012867">
    <w:abstractNumId w:val="13"/>
  </w:num>
  <w:num w:numId="19" w16cid:durableId="2143842879">
    <w:abstractNumId w:val="30"/>
  </w:num>
  <w:num w:numId="20" w16cid:durableId="825435739">
    <w:abstractNumId w:val="1"/>
  </w:num>
  <w:num w:numId="21" w16cid:durableId="2047948050">
    <w:abstractNumId w:val="31"/>
  </w:num>
  <w:num w:numId="22" w16cid:durableId="2017270785">
    <w:abstractNumId w:val="27"/>
  </w:num>
  <w:num w:numId="23" w16cid:durableId="1405026442">
    <w:abstractNumId w:val="19"/>
  </w:num>
  <w:num w:numId="24" w16cid:durableId="527912796">
    <w:abstractNumId w:val="5"/>
  </w:num>
  <w:num w:numId="25" w16cid:durableId="665405911">
    <w:abstractNumId w:val="0"/>
  </w:num>
  <w:num w:numId="26" w16cid:durableId="1616524404">
    <w:abstractNumId w:val="10"/>
  </w:num>
  <w:num w:numId="27" w16cid:durableId="1259829062">
    <w:abstractNumId w:val="18"/>
  </w:num>
  <w:num w:numId="28" w16cid:durableId="2052143436">
    <w:abstractNumId w:val="24"/>
  </w:num>
  <w:num w:numId="29" w16cid:durableId="218590663">
    <w:abstractNumId w:val="32"/>
  </w:num>
  <w:num w:numId="30" w16cid:durableId="955676514">
    <w:abstractNumId w:val="14"/>
  </w:num>
  <w:num w:numId="31" w16cid:durableId="181943163">
    <w:abstractNumId w:val="7"/>
  </w:num>
  <w:num w:numId="32" w16cid:durableId="1908421331">
    <w:abstractNumId w:val="23"/>
  </w:num>
  <w:num w:numId="33" w16cid:durableId="1318992085">
    <w:abstractNumId w:val="29"/>
  </w:num>
  <w:num w:numId="34" w16cid:durableId="1757553096">
    <w:abstractNumId w:val="22"/>
  </w:num>
  <w:num w:numId="35" w16cid:durableId="164726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051F7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24C0"/>
    <w:rsid w:val="0007553D"/>
    <w:rsid w:val="000836F8"/>
    <w:rsid w:val="0009048D"/>
    <w:rsid w:val="0009616D"/>
    <w:rsid w:val="000A36A5"/>
    <w:rsid w:val="000A7360"/>
    <w:rsid w:val="000B6D7B"/>
    <w:rsid w:val="000C09C3"/>
    <w:rsid w:val="000C3717"/>
    <w:rsid w:val="000C5BC0"/>
    <w:rsid w:val="000C62C1"/>
    <w:rsid w:val="000D1C08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47C37"/>
    <w:rsid w:val="00162B8C"/>
    <w:rsid w:val="001647FC"/>
    <w:rsid w:val="00171338"/>
    <w:rsid w:val="00181962"/>
    <w:rsid w:val="00184D3B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05786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82434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2707E"/>
    <w:rsid w:val="0043159F"/>
    <w:rsid w:val="004336B0"/>
    <w:rsid w:val="004422FD"/>
    <w:rsid w:val="00446F50"/>
    <w:rsid w:val="00451CEB"/>
    <w:rsid w:val="00452154"/>
    <w:rsid w:val="004556AA"/>
    <w:rsid w:val="00456939"/>
    <w:rsid w:val="00467955"/>
    <w:rsid w:val="00471E05"/>
    <w:rsid w:val="004775C1"/>
    <w:rsid w:val="0048649D"/>
    <w:rsid w:val="0048657A"/>
    <w:rsid w:val="004905CA"/>
    <w:rsid w:val="00490D09"/>
    <w:rsid w:val="004B099E"/>
    <w:rsid w:val="004B5235"/>
    <w:rsid w:val="004B7F7F"/>
    <w:rsid w:val="004D0015"/>
    <w:rsid w:val="004D2ADF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5C6E"/>
    <w:rsid w:val="005D6DF1"/>
    <w:rsid w:val="005E688A"/>
    <w:rsid w:val="005F1F83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548AD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2FBB"/>
    <w:rsid w:val="006F6722"/>
    <w:rsid w:val="006F744B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62CF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86260"/>
    <w:rsid w:val="008956F2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773F5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3EF6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3BD0"/>
    <w:rsid w:val="00A46298"/>
    <w:rsid w:val="00A57045"/>
    <w:rsid w:val="00A60678"/>
    <w:rsid w:val="00A65638"/>
    <w:rsid w:val="00A70D63"/>
    <w:rsid w:val="00A770DA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122F4"/>
    <w:rsid w:val="00B246E2"/>
    <w:rsid w:val="00B374CD"/>
    <w:rsid w:val="00B402E5"/>
    <w:rsid w:val="00B46131"/>
    <w:rsid w:val="00B4775D"/>
    <w:rsid w:val="00B526C7"/>
    <w:rsid w:val="00B5436C"/>
    <w:rsid w:val="00B90D39"/>
    <w:rsid w:val="00B91054"/>
    <w:rsid w:val="00BA1DC4"/>
    <w:rsid w:val="00BA769C"/>
    <w:rsid w:val="00BC6169"/>
    <w:rsid w:val="00BD0CBB"/>
    <w:rsid w:val="00BD3AF0"/>
    <w:rsid w:val="00BE11D0"/>
    <w:rsid w:val="00C00187"/>
    <w:rsid w:val="00C028C6"/>
    <w:rsid w:val="00C02EE8"/>
    <w:rsid w:val="00C03294"/>
    <w:rsid w:val="00C13ADD"/>
    <w:rsid w:val="00C20FCF"/>
    <w:rsid w:val="00C24494"/>
    <w:rsid w:val="00C26B73"/>
    <w:rsid w:val="00C51BBA"/>
    <w:rsid w:val="00C52CFC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0E45"/>
    <w:rsid w:val="00CD4234"/>
    <w:rsid w:val="00CD42D4"/>
    <w:rsid w:val="00CD43D2"/>
    <w:rsid w:val="00CD6D59"/>
    <w:rsid w:val="00CD7D6C"/>
    <w:rsid w:val="00CE0623"/>
    <w:rsid w:val="00CF107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08C2"/>
    <w:rsid w:val="00D73B1E"/>
    <w:rsid w:val="00D9014E"/>
    <w:rsid w:val="00DA5780"/>
    <w:rsid w:val="00DA7101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C5D67"/>
    <w:rsid w:val="00DC73F5"/>
    <w:rsid w:val="00DE3030"/>
    <w:rsid w:val="00DE44EA"/>
    <w:rsid w:val="00DF101C"/>
    <w:rsid w:val="00DF1137"/>
    <w:rsid w:val="00DF19BD"/>
    <w:rsid w:val="00DF64C6"/>
    <w:rsid w:val="00E002A8"/>
    <w:rsid w:val="00E04A97"/>
    <w:rsid w:val="00E05EFB"/>
    <w:rsid w:val="00E06D1C"/>
    <w:rsid w:val="00E10E56"/>
    <w:rsid w:val="00E13B23"/>
    <w:rsid w:val="00E17C7C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3C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D0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885D-E3E7-4788-971A-FD2C6FAD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9843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2016-03-03T09:16:00Z</dcterms:created>
  <dcterms:modified xsi:type="dcterms:W3CDTF">2024-10-08T06:07:00Z</dcterms:modified>
</cp:coreProperties>
</file>